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0338" w14:textId="07B5297C" w:rsidR="00501EDA" w:rsidRPr="00A74689" w:rsidRDefault="00501EDA" w:rsidP="00501EDA">
      <w:pPr>
        <w:spacing w:after="0"/>
        <w:ind w:left="720"/>
        <w:jc w:val="center"/>
        <w:rPr>
          <w:rFonts w:ascii="Arial" w:hAnsi="Arial"/>
          <w:sz w:val="20"/>
          <w:szCs w:val="20"/>
        </w:rPr>
      </w:pPr>
      <w:r w:rsidRPr="00A74689">
        <w:rPr>
          <w:rFonts w:ascii="Arial" w:hAnsi="Arial"/>
          <w:b/>
          <w:noProof/>
          <w:sz w:val="20"/>
          <w:szCs w:val="20"/>
        </w:rPr>
        <w:drawing>
          <wp:inline distT="0" distB="0" distL="0" distR="0" wp14:anchorId="3181A0BB" wp14:editId="31899F68">
            <wp:extent cx="2855595" cy="723900"/>
            <wp:effectExtent l="0" t="0" r="1905" b="0"/>
            <wp:docPr id="569005476" name="Picture 569005476"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05476" name="Picture 1" descr="A picture containing text, font, graphics,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723900"/>
                    </a:xfrm>
                    <a:prstGeom prst="rect">
                      <a:avLst/>
                    </a:prstGeom>
                    <a:noFill/>
                    <a:ln>
                      <a:noFill/>
                    </a:ln>
                  </pic:spPr>
                </pic:pic>
              </a:graphicData>
            </a:graphic>
          </wp:inline>
        </w:drawing>
      </w:r>
      <w:r>
        <w:rPr>
          <w:rFonts w:ascii="Arial" w:hAnsi="Arial"/>
          <w:b/>
          <w:noProof/>
          <w:sz w:val="20"/>
          <w:szCs w:val="20"/>
        </w:rPr>
        <w:t xml:space="preserve"> </w:t>
      </w:r>
      <w:r w:rsidRPr="00A74689">
        <w:rPr>
          <w:rFonts w:ascii="Arial" w:hAnsi="Arial"/>
          <w:sz w:val="20"/>
          <w:szCs w:val="20"/>
        </w:rPr>
        <w:t>®</w:t>
      </w:r>
    </w:p>
    <w:p w14:paraId="7C885AA6" w14:textId="77777777" w:rsidR="00501EDA" w:rsidRPr="00A74689" w:rsidRDefault="00501EDA" w:rsidP="00501EDA">
      <w:pPr>
        <w:spacing w:after="0" w:line="240" w:lineRule="auto"/>
        <w:ind w:left="720"/>
        <w:jc w:val="center"/>
        <w:rPr>
          <w:rFonts w:ascii="Arial" w:hAnsi="Arial"/>
          <w:b/>
          <w:sz w:val="28"/>
          <w:szCs w:val="28"/>
        </w:rPr>
      </w:pPr>
      <w:r w:rsidRPr="00A74689">
        <w:rPr>
          <w:rFonts w:ascii="Arial" w:hAnsi="Arial"/>
          <w:b/>
          <w:sz w:val="28"/>
          <w:szCs w:val="28"/>
        </w:rPr>
        <w:t>Appendix 7: Winner Eligibility Checklist</w:t>
      </w:r>
    </w:p>
    <w:p w14:paraId="160A944F" w14:textId="77777777" w:rsidR="00501EDA" w:rsidRPr="00A74689" w:rsidRDefault="00501EDA" w:rsidP="00501EDA">
      <w:pPr>
        <w:spacing w:after="0" w:line="240" w:lineRule="auto"/>
        <w:jc w:val="center"/>
        <w:rPr>
          <w:rFonts w:ascii="Times New Roman" w:hAnsi="Times New Roman"/>
          <w:sz w:val="20"/>
          <w:szCs w:val="20"/>
        </w:rPr>
      </w:pPr>
    </w:p>
    <w:p w14:paraId="2EE853DF" w14:textId="77777777" w:rsidR="00501EDA" w:rsidRPr="00A74689" w:rsidRDefault="00501EDA" w:rsidP="00501EDA">
      <w:pPr>
        <w:spacing w:after="0" w:line="240" w:lineRule="auto"/>
        <w:jc w:val="center"/>
        <w:rPr>
          <w:rFonts w:ascii="Times New Roman" w:hAnsi="Times New Roman"/>
          <w:sz w:val="20"/>
          <w:szCs w:val="20"/>
        </w:rPr>
      </w:pPr>
    </w:p>
    <w:p w14:paraId="21E65C31" w14:textId="77777777" w:rsidR="00501EDA" w:rsidRPr="00A74689" w:rsidRDefault="00501EDA" w:rsidP="00501EDA">
      <w:pPr>
        <w:spacing w:after="0"/>
        <w:rPr>
          <w:rFonts w:ascii="Arial" w:hAnsi="Arial"/>
          <w:sz w:val="20"/>
          <w:szCs w:val="20"/>
        </w:rPr>
      </w:pPr>
      <w:r w:rsidRPr="00A74689">
        <w:rPr>
          <w:rFonts w:ascii="Arial" w:hAnsi="Arial"/>
          <w:sz w:val="20"/>
          <w:szCs w:val="20"/>
        </w:rPr>
        <w:t xml:space="preserve">Save to Win accountholders must satisfy the following requirements, consistent with the </w:t>
      </w:r>
      <w:r>
        <w:rPr>
          <w:rFonts w:ascii="Arial" w:hAnsi="Arial"/>
          <w:sz w:val="20"/>
          <w:szCs w:val="20"/>
        </w:rPr>
        <w:t>O</w:t>
      </w:r>
      <w:r w:rsidRPr="00A74689">
        <w:rPr>
          <w:rFonts w:ascii="Arial" w:hAnsi="Arial"/>
          <w:sz w:val="20"/>
          <w:szCs w:val="20"/>
        </w:rPr>
        <w:t xml:space="preserve">fficial </w:t>
      </w:r>
      <w:r>
        <w:rPr>
          <w:rFonts w:ascii="Arial" w:hAnsi="Arial"/>
          <w:sz w:val="20"/>
          <w:szCs w:val="20"/>
        </w:rPr>
        <w:t>R</w:t>
      </w:r>
      <w:r w:rsidRPr="00A74689">
        <w:rPr>
          <w:rFonts w:ascii="Arial" w:hAnsi="Arial"/>
          <w:sz w:val="20"/>
          <w:szCs w:val="20"/>
        </w:rPr>
        <w:t xml:space="preserve">ules, </w:t>
      </w:r>
      <w:proofErr w:type="gramStart"/>
      <w:r>
        <w:rPr>
          <w:rFonts w:ascii="Arial" w:hAnsi="Arial"/>
          <w:sz w:val="20"/>
          <w:szCs w:val="20"/>
        </w:rPr>
        <w:t xml:space="preserve">in order </w:t>
      </w:r>
      <w:r w:rsidRPr="00A74689">
        <w:rPr>
          <w:rFonts w:ascii="Arial" w:hAnsi="Arial"/>
          <w:sz w:val="20"/>
          <w:szCs w:val="20"/>
        </w:rPr>
        <w:t>to</w:t>
      </w:r>
      <w:proofErr w:type="gramEnd"/>
      <w:r w:rsidRPr="00A74689">
        <w:rPr>
          <w:rFonts w:ascii="Arial" w:hAnsi="Arial"/>
          <w:sz w:val="20"/>
          <w:szCs w:val="20"/>
        </w:rPr>
        <w:t xml:space="preserve"> be eligible </w:t>
      </w:r>
      <w:r>
        <w:rPr>
          <w:rFonts w:ascii="Arial" w:hAnsi="Arial"/>
          <w:sz w:val="20"/>
          <w:szCs w:val="20"/>
        </w:rPr>
        <w:t xml:space="preserve">for the </w:t>
      </w:r>
      <w:r w:rsidRPr="00A74689">
        <w:rPr>
          <w:rFonts w:ascii="Arial" w:hAnsi="Arial"/>
          <w:sz w:val="20"/>
          <w:szCs w:val="20"/>
        </w:rPr>
        <w:t>national, statewide and credit union</w:t>
      </w:r>
      <w:r>
        <w:rPr>
          <w:rFonts w:ascii="Arial" w:hAnsi="Arial"/>
          <w:sz w:val="20"/>
          <w:szCs w:val="20"/>
        </w:rPr>
        <w:t xml:space="preserve"> </w:t>
      </w:r>
      <w:r w:rsidRPr="00A74689">
        <w:rPr>
          <w:rFonts w:ascii="Arial" w:hAnsi="Arial"/>
          <w:sz w:val="20"/>
          <w:szCs w:val="20"/>
        </w:rPr>
        <w:t xml:space="preserve">prizes. </w:t>
      </w:r>
    </w:p>
    <w:p w14:paraId="1D6B96E6" w14:textId="77777777" w:rsidR="00501EDA" w:rsidRPr="00A74689" w:rsidRDefault="00501EDA" w:rsidP="00501EDA">
      <w:pPr>
        <w:spacing w:after="0"/>
        <w:rPr>
          <w:rFonts w:ascii="Arial" w:hAnsi="Arial"/>
          <w:sz w:val="20"/>
          <w:szCs w:val="20"/>
        </w:rPr>
      </w:pPr>
    </w:p>
    <w:p w14:paraId="6F502C7A" w14:textId="41B2CAB3" w:rsidR="00501EDA" w:rsidRPr="005A245E" w:rsidRDefault="00501EDA" w:rsidP="005A245E">
      <w:pPr>
        <w:pStyle w:val="ListParagraph"/>
        <w:numPr>
          <w:ilvl w:val="0"/>
          <w:numId w:val="2"/>
        </w:numPr>
        <w:spacing w:after="0"/>
        <w:rPr>
          <w:rFonts w:ascii="Arial" w:hAnsi="Arial" w:cs="Arial"/>
          <w:sz w:val="20"/>
          <w:szCs w:val="20"/>
        </w:rPr>
      </w:pPr>
      <w:r w:rsidRPr="00501EDA">
        <w:rPr>
          <w:rFonts w:ascii="Arial" w:hAnsi="Arial" w:cs="Arial"/>
          <w:sz w:val="20"/>
          <w:szCs w:val="20"/>
        </w:rPr>
        <w:t>The winner</w:t>
      </w:r>
      <w:r w:rsidR="005A245E">
        <w:rPr>
          <w:rFonts w:ascii="Arial" w:hAnsi="Arial" w:cs="Arial"/>
          <w:sz w:val="20"/>
          <w:szCs w:val="20"/>
        </w:rPr>
        <w:t>’s</w:t>
      </w:r>
      <w:r w:rsidRPr="00501EDA">
        <w:rPr>
          <w:rFonts w:ascii="Arial" w:hAnsi="Arial" w:cs="Arial"/>
          <w:sz w:val="20"/>
          <w:szCs w:val="20"/>
        </w:rPr>
        <w:t xml:space="preserve"> Save to Win account is open and active through the drawing period (last day of the</w:t>
      </w:r>
      <w:r w:rsidR="005A245E">
        <w:rPr>
          <w:rFonts w:ascii="Arial" w:hAnsi="Arial" w:cs="Arial"/>
          <w:sz w:val="20"/>
          <w:szCs w:val="20"/>
        </w:rPr>
        <w:t xml:space="preserve"> </w:t>
      </w:r>
      <w:r w:rsidRPr="005A245E">
        <w:rPr>
          <w:rFonts w:ascii="Arial" w:hAnsi="Arial" w:cs="Arial"/>
          <w:sz w:val="20"/>
          <w:szCs w:val="20"/>
        </w:rPr>
        <w:t xml:space="preserve">previous month/quarter/annual (if applicable)) </w:t>
      </w:r>
    </w:p>
    <w:p w14:paraId="71C73D8D" w14:textId="77777777" w:rsidR="00501EDA" w:rsidRPr="00501EDA" w:rsidRDefault="00501EDA" w:rsidP="00501EDA">
      <w:pPr>
        <w:pStyle w:val="ListParagraph"/>
        <w:numPr>
          <w:ilvl w:val="0"/>
          <w:numId w:val="2"/>
        </w:numPr>
        <w:spacing w:after="0"/>
        <w:rPr>
          <w:rFonts w:ascii="Arial" w:hAnsi="Arial" w:cs="Arial"/>
          <w:sz w:val="20"/>
          <w:szCs w:val="20"/>
        </w:rPr>
      </w:pPr>
      <w:r w:rsidRPr="00501EDA">
        <w:rPr>
          <w:rFonts w:ascii="Arial" w:hAnsi="Arial" w:cs="Arial"/>
          <w:sz w:val="20"/>
          <w:szCs w:val="20"/>
        </w:rPr>
        <w:t>The winners’ regular share account is in good standing.</w:t>
      </w:r>
    </w:p>
    <w:p w14:paraId="03914688" w14:textId="77777777" w:rsidR="00501EDA" w:rsidRPr="00501EDA" w:rsidRDefault="00501EDA" w:rsidP="00501EDA">
      <w:pPr>
        <w:pStyle w:val="ListParagraph"/>
        <w:numPr>
          <w:ilvl w:val="0"/>
          <w:numId w:val="2"/>
        </w:numPr>
        <w:spacing w:after="0"/>
        <w:rPr>
          <w:rFonts w:ascii="Arial" w:hAnsi="Arial"/>
          <w:sz w:val="20"/>
          <w:szCs w:val="20"/>
        </w:rPr>
      </w:pPr>
      <w:r w:rsidRPr="00501EDA">
        <w:rPr>
          <w:rFonts w:ascii="Arial" w:hAnsi="Arial"/>
          <w:color w:val="auto"/>
          <w:sz w:val="20"/>
          <w:szCs w:val="20"/>
        </w:rPr>
        <w:t>The winner is at least 18 years of age.</w:t>
      </w:r>
    </w:p>
    <w:p w14:paraId="774B9011" w14:textId="466B4563" w:rsidR="00501EDA" w:rsidRPr="00501EDA" w:rsidRDefault="00501EDA" w:rsidP="00501EDA">
      <w:pPr>
        <w:pStyle w:val="ListParagraph"/>
        <w:numPr>
          <w:ilvl w:val="0"/>
          <w:numId w:val="2"/>
        </w:numPr>
        <w:spacing w:after="0"/>
        <w:rPr>
          <w:rFonts w:ascii="Arial" w:hAnsi="Arial"/>
          <w:sz w:val="20"/>
          <w:szCs w:val="20"/>
        </w:rPr>
      </w:pPr>
      <w:r w:rsidRPr="00501EDA">
        <w:rPr>
          <w:rFonts w:ascii="Arial" w:hAnsi="Arial"/>
          <w:color w:val="auto"/>
          <w:sz w:val="20"/>
          <w:szCs w:val="20"/>
        </w:rPr>
        <w:t xml:space="preserve">The winner is a resident of a state in which </w:t>
      </w:r>
      <w:r w:rsidRPr="00501EDA">
        <w:rPr>
          <w:rFonts w:ascii="Arial" w:hAnsi="Arial" w:cs="Arial"/>
          <w:color w:val="auto"/>
          <w:sz w:val="18"/>
          <w:szCs w:val="18"/>
        </w:rPr>
        <w:t xml:space="preserve">in </w:t>
      </w:r>
      <w:r w:rsidRPr="00501EDA">
        <w:rPr>
          <w:rFonts w:ascii="Arial" w:hAnsi="Arial"/>
          <w:color w:val="auto"/>
          <w:sz w:val="20"/>
          <w:szCs w:val="20"/>
        </w:rPr>
        <w:t>which Prize Linked Savings is permitted</w:t>
      </w:r>
      <w:r w:rsidRPr="00501EDA">
        <w:rPr>
          <w:rFonts w:ascii="Arial" w:hAnsi="Arial"/>
          <w:sz w:val="20"/>
          <w:szCs w:val="20"/>
        </w:rPr>
        <w:t xml:space="preserve"> (</w:t>
      </w:r>
      <w:r w:rsidR="00CC4D8E">
        <w:rPr>
          <w:rFonts w:ascii="Arial" w:hAnsi="Arial"/>
          <w:sz w:val="20"/>
          <w:szCs w:val="20"/>
        </w:rPr>
        <w:t xml:space="preserve">full list of </w:t>
      </w:r>
      <w:r w:rsidR="003F423B">
        <w:rPr>
          <w:rFonts w:ascii="Arial" w:hAnsi="Arial"/>
          <w:sz w:val="20"/>
          <w:szCs w:val="20"/>
        </w:rPr>
        <w:t>eligible states available on the admin site</w:t>
      </w:r>
      <w:r w:rsidRPr="00501EDA">
        <w:rPr>
          <w:rFonts w:ascii="Arial" w:hAnsi="Arial"/>
          <w:sz w:val="20"/>
          <w:szCs w:val="20"/>
        </w:rPr>
        <w:t>).</w:t>
      </w:r>
    </w:p>
    <w:p w14:paraId="3C93B965" w14:textId="54CD24BF" w:rsidR="00B455D9" w:rsidRPr="00B455D9" w:rsidRDefault="00501EDA" w:rsidP="00501EDA">
      <w:pPr>
        <w:pStyle w:val="ListParagraph"/>
        <w:numPr>
          <w:ilvl w:val="0"/>
          <w:numId w:val="2"/>
        </w:numPr>
        <w:spacing w:after="0"/>
        <w:rPr>
          <w:rFonts w:ascii="Arial" w:hAnsi="Arial"/>
          <w:sz w:val="20"/>
          <w:szCs w:val="20"/>
        </w:rPr>
      </w:pPr>
      <w:r w:rsidRPr="00501EDA">
        <w:rPr>
          <w:rFonts w:ascii="Arial" w:hAnsi="Arial" w:cs="Arial"/>
          <w:sz w:val="20"/>
          <w:szCs w:val="20"/>
        </w:rPr>
        <w:t>The winner is not a corporation, limited liability company, partnership, association, sole proprietor, trust (if applicable based on laws in your state</w:t>
      </w:r>
      <w:r w:rsidR="00C753D0">
        <w:rPr>
          <w:rFonts w:ascii="Arial" w:hAnsi="Arial" w:cs="Arial"/>
          <w:sz w:val="20"/>
          <w:szCs w:val="20"/>
        </w:rPr>
        <w:t xml:space="preserve"> and credit union consideration</w:t>
      </w:r>
      <w:r w:rsidRPr="00501EDA">
        <w:rPr>
          <w:rFonts w:ascii="Arial" w:hAnsi="Arial" w:cs="Arial"/>
          <w:sz w:val="20"/>
          <w:szCs w:val="20"/>
        </w:rPr>
        <w:t xml:space="preserve">), business or labor organization, other public or private entity, director or employees of the participating credit union or is a vendor of the credit union (this includes primary and joint ownership). </w:t>
      </w:r>
    </w:p>
    <w:p w14:paraId="28E2D304" w14:textId="0A3C33C8" w:rsidR="00501EDA" w:rsidRPr="00501EDA" w:rsidRDefault="00501EDA" w:rsidP="00B455D9">
      <w:pPr>
        <w:pStyle w:val="ListParagraph"/>
        <w:numPr>
          <w:ilvl w:val="1"/>
          <w:numId w:val="2"/>
        </w:numPr>
        <w:spacing w:after="0"/>
        <w:rPr>
          <w:rFonts w:ascii="Arial" w:hAnsi="Arial"/>
          <w:sz w:val="20"/>
          <w:szCs w:val="20"/>
        </w:rPr>
      </w:pPr>
      <w:r w:rsidRPr="00501EDA">
        <w:rPr>
          <w:rFonts w:ascii="Arial" w:hAnsi="Arial" w:cs="Arial"/>
          <w:sz w:val="20"/>
          <w:szCs w:val="20"/>
        </w:rPr>
        <w:t>Where permissible under applicable state law a</w:t>
      </w:r>
      <w:r w:rsidRPr="00501EDA">
        <w:rPr>
          <w:rFonts w:ascii="Arial" w:hAnsi="Arial"/>
          <w:color w:val="auto"/>
          <w:sz w:val="20"/>
          <w:szCs w:val="20"/>
        </w:rPr>
        <w:t xml:space="preserve"> Trust may be considered an Eligible Member for purposes of the Raffle.</w:t>
      </w:r>
    </w:p>
    <w:p w14:paraId="20C5F73A" w14:textId="2D853A59" w:rsidR="00501EDA" w:rsidRPr="00501EDA" w:rsidRDefault="00501EDA" w:rsidP="00501EDA">
      <w:pPr>
        <w:pStyle w:val="ListParagraph"/>
        <w:numPr>
          <w:ilvl w:val="0"/>
          <w:numId w:val="2"/>
        </w:numPr>
        <w:spacing w:after="0"/>
        <w:rPr>
          <w:rFonts w:ascii="Arial" w:hAnsi="Arial"/>
          <w:sz w:val="20"/>
          <w:szCs w:val="20"/>
        </w:rPr>
      </w:pPr>
      <w:r w:rsidRPr="00501EDA">
        <w:rPr>
          <w:rFonts w:ascii="Arial" w:hAnsi="Arial"/>
          <w:sz w:val="20"/>
          <w:szCs w:val="20"/>
        </w:rPr>
        <w:t xml:space="preserve">Are not Officers, </w:t>
      </w:r>
      <w:r w:rsidR="00B455D9" w:rsidRPr="00501EDA">
        <w:rPr>
          <w:rFonts w:ascii="Arial" w:hAnsi="Arial"/>
          <w:sz w:val="20"/>
          <w:szCs w:val="20"/>
        </w:rPr>
        <w:t>directors,</w:t>
      </w:r>
      <w:r w:rsidRPr="00501EDA">
        <w:rPr>
          <w:rFonts w:ascii="Arial" w:hAnsi="Arial"/>
          <w:sz w:val="20"/>
          <w:szCs w:val="20"/>
        </w:rPr>
        <w:t xml:space="preserve"> and employees of the participating Credit Union </w:t>
      </w:r>
    </w:p>
    <w:p w14:paraId="65AA3D71" w14:textId="1C08E32A" w:rsidR="00501EDA" w:rsidRPr="00501EDA" w:rsidRDefault="00501EDA" w:rsidP="00501EDA">
      <w:pPr>
        <w:pStyle w:val="ListParagraph"/>
        <w:numPr>
          <w:ilvl w:val="1"/>
          <w:numId w:val="2"/>
        </w:numPr>
        <w:tabs>
          <w:tab w:val="num" w:pos="720"/>
        </w:tabs>
        <w:spacing w:after="0"/>
        <w:rPr>
          <w:rFonts w:ascii="Arial" w:hAnsi="Arial"/>
          <w:sz w:val="20"/>
          <w:szCs w:val="20"/>
        </w:rPr>
      </w:pPr>
      <w:r w:rsidRPr="00501EDA">
        <w:rPr>
          <w:rFonts w:ascii="Arial" w:hAnsi="Arial"/>
          <w:sz w:val="20"/>
          <w:szCs w:val="20"/>
        </w:rPr>
        <w:t xml:space="preserve">Officers, </w:t>
      </w:r>
      <w:r w:rsidR="00B455D9" w:rsidRPr="00501EDA">
        <w:rPr>
          <w:rFonts w:ascii="Arial" w:hAnsi="Arial"/>
          <w:sz w:val="20"/>
          <w:szCs w:val="20"/>
        </w:rPr>
        <w:t>directors,</w:t>
      </w:r>
      <w:r w:rsidRPr="00501EDA">
        <w:rPr>
          <w:rFonts w:ascii="Arial" w:hAnsi="Arial"/>
          <w:sz w:val="20"/>
          <w:szCs w:val="20"/>
        </w:rPr>
        <w:t xml:space="preserve"> and employees of the participating Credit Union can open accounts and receive prizes from the credit union’s </w:t>
      </w:r>
      <w:r>
        <w:rPr>
          <w:rFonts w:ascii="Arial" w:hAnsi="Arial"/>
          <w:sz w:val="20"/>
          <w:szCs w:val="20"/>
        </w:rPr>
        <w:t>employee</w:t>
      </w:r>
      <w:r w:rsidRPr="00501EDA">
        <w:rPr>
          <w:rFonts w:ascii="Arial" w:hAnsi="Arial"/>
          <w:sz w:val="20"/>
          <w:szCs w:val="20"/>
        </w:rPr>
        <w:t xml:space="preserve"> drawing only, if applicable.</w:t>
      </w:r>
    </w:p>
    <w:p w14:paraId="4F03FBEE" w14:textId="77777777" w:rsidR="00501EDA" w:rsidRPr="00501EDA" w:rsidRDefault="00501EDA" w:rsidP="00501EDA">
      <w:pPr>
        <w:pStyle w:val="ListParagraph"/>
        <w:numPr>
          <w:ilvl w:val="0"/>
          <w:numId w:val="2"/>
        </w:numPr>
        <w:spacing w:after="0"/>
        <w:rPr>
          <w:rFonts w:ascii="Arial" w:hAnsi="Arial" w:cs="Arial"/>
          <w:sz w:val="20"/>
          <w:szCs w:val="20"/>
        </w:rPr>
      </w:pPr>
      <w:r w:rsidRPr="00501EDA">
        <w:rPr>
          <w:rFonts w:ascii="Arial" w:hAnsi="Arial" w:cs="Arial"/>
          <w:sz w:val="20"/>
          <w:szCs w:val="20"/>
        </w:rPr>
        <w:t xml:space="preserve">(If Applicable) The winner is not an immediate family member (spouse, child) of the individuals described in the preceding sentence, nor any person residing in the same household as any such individuals are not eligible for to participate in the raffle. </w:t>
      </w:r>
    </w:p>
    <w:p w14:paraId="66E4B82B" w14:textId="2615D957" w:rsidR="00501EDA" w:rsidRPr="00501EDA" w:rsidRDefault="00501EDA" w:rsidP="00501EDA">
      <w:pPr>
        <w:pStyle w:val="ListParagraph"/>
        <w:numPr>
          <w:ilvl w:val="1"/>
          <w:numId w:val="2"/>
        </w:numPr>
        <w:spacing w:after="0"/>
        <w:rPr>
          <w:rFonts w:ascii="Arial" w:hAnsi="Arial" w:cs="Arial"/>
          <w:sz w:val="20"/>
          <w:szCs w:val="20"/>
        </w:rPr>
      </w:pPr>
      <w:r w:rsidRPr="00501EDA">
        <w:rPr>
          <w:rFonts w:ascii="Arial" w:hAnsi="Arial" w:cs="Arial"/>
          <w:sz w:val="20"/>
          <w:szCs w:val="20"/>
        </w:rPr>
        <w:t xml:space="preserve">See your credit </w:t>
      </w:r>
      <w:r w:rsidR="00B455D9" w:rsidRPr="00501EDA">
        <w:rPr>
          <w:rFonts w:ascii="Arial" w:hAnsi="Arial" w:cs="Arial"/>
          <w:sz w:val="20"/>
          <w:szCs w:val="20"/>
        </w:rPr>
        <w:t>union’s</w:t>
      </w:r>
      <w:r w:rsidRPr="00501EDA">
        <w:rPr>
          <w:rFonts w:ascii="Arial" w:hAnsi="Arial" w:cs="Arial"/>
          <w:sz w:val="20"/>
          <w:szCs w:val="20"/>
        </w:rPr>
        <w:t xml:space="preserve"> Official Rules for details. </w:t>
      </w:r>
    </w:p>
    <w:p w14:paraId="6F7A3A3C" w14:textId="01B65566" w:rsidR="00501EDA" w:rsidRDefault="00501EDA" w:rsidP="00501EDA">
      <w:pPr>
        <w:pStyle w:val="ListParagraph"/>
        <w:numPr>
          <w:ilvl w:val="0"/>
          <w:numId w:val="2"/>
        </w:numPr>
        <w:spacing w:after="0"/>
        <w:rPr>
          <w:rFonts w:ascii="Arial" w:hAnsi="Arial" w:cs="Arial"/>
          <w:sz w:val="20"/>
          <w:szCs w:val="20"/>
        </w:rPr>
      </w:pPr>
      <w:r w:rsidRPr="00501EDA">
        <w:rPr>
          <w:rFonts w:ascii="Arial" w:hAnsi="Arial" w:cs="Arial"/>
          <w:sz w:val="20"/>
          <w:szCs w:val="20"/>
        </w:rPr>
        <w:t>Winners’ identity has been verified (driver’s license, state ID or other acceptable forms of identification approved by your credit union)</w:t>
      </w:r>
      <w:r>
        <w:rPr>
          <w:rFonts w:ascii="Arial" w:hAnsi="Arial" w:cs="Arial"/>
          <w:sz w:val="20"/>
          <w:szCs w:val="20"/>
        </w:rPr>
        <w:t>.</w:t>
      </w:r>
    </w:p>
    <w:p w14:paraId="04784D90" w14:textId="0A5BDC16" w:rsidR="00405DC1" w:rsidRPr="00501EDA" w:rsidRDefault="00405DC1" w:rsidP="00501EDA">
      <w:pPr>
        <w:pStyle w:val="ListParagraph"/>
        <w:numPr>
          <w:ilvl w:val="0"/>
          <w:numId w:val="2"/>
        </w:numPr>
        <w:spacing w:after="0"/>
        <w:rPr>
          <w:rFonts w:ascii="Arial" w:hAnsi="Arial" w:cs="Arial"/>
          <w:sz w:val="20"/>
          <w:szCs w:val="20"/>
        </w:rPr>
      </w:pPr>
      <w:r>
        <w:rPr>
          <w:rFonts w:ascii="Arial" w:hAnsi="Arial" w:cs="Arial"/>
          <w:sz w:val="20"/>
          <w:szCs w:val="20"/>
        </w:rPr>
        <w:t xml:space="preserve">The winner </w:t>
      </w:r>
      <w:r w:rsidR="00603E56">
        <w:rPr>
          <w:rFonts w:ascii="Arial" w:hAnsi="Arial" w:cs="Arial"/>
          <w:sz w:val="20"/>
          <w:szCs w:val="20"/>
        </w:rPr>
        <w:t>is not listed as a winner</w:t>
      </w:r>
      <w:r w:rsidR="006952A7">
        <w:rPr>
          <w:rFonts w:ascii="Arial" w:hAnsi="Arial" w:cs="Arial"/>
          <w:sz w:val="20"/>
          <w:szCs w:val="20"/>
        </w:rPr>
        <w:t xml:space="preserve"> in more than one central prize drawing. Ex: If a member has won in the National prize drawing, they cannot win in the State drawing </w:t>
      </w:r>
      <w:r w:rsidR="00603E56">
        <w:rPr>
          <w:rFonts w:ascii="Arial" w:hAnsi="Arial" w:cs="Arial"/>
          <w:sz w:val="20"/>
          <w:szCs w:val="20"/>
        </w:rPr>
        <w:t xml:space="preserve">as well </w:t>
      </w:r>
      <w:r w:rsidR="006952A7">
        <w:rPr>
          <w:rFonts w:ascii="Arial" w:hAnsi="Arial" w:cs="Arial"/>
          <w:sz w:val="20"/>
          <w:szCs w:val="20"/>
        </w:rPr>
        <w:t xml:space="preserve">(if applicable). </w:t>
      </w:r>
    </w:p>
    <w:p w14:paraId="3F191039" w14:textId="6B5DF465" w:rsidR="00501EDA" w:rsidRPr="008A2F8B" w:rsidRDefault="00501EDA" w:rsidP="00501EDA">
      <w:pPr>
        <w:pStyle w:val="ListParagraph"/>
        <w:numPr>
          <w:ilvl w:val="0"/>
          <w:numId w:val="2"/>
        </w:numPr>
        <w:rPr>
          <w:rFonts w:ascii="Times New Roman" w:eastAsia="Times New Roman" w:hAnsi="Times New Roman"/>
          <w:color w:val="auto"/>
          <w:sz w:val="20"/>
          <w:szCs w:val="20"/>
          <w:lang w:bidi="x-none"/>
        </w:rPr>
      </w:pPr>
      <w:r w:rsidRPr="008A2F8B">
        <w:rPr>
          <w:rFonts w:ascii="Arial" w:hAnsi="Arial"/>
          <w:sz w:val="20"/>
          <w:szCs w:val="20"/>
        </w:rPr>
        <w:t xml:space="preserve">If the winner does not satisfy all </w:t>
      </w:r>
      <w:proofErr w:type="gramStart"/>
      <w:r w:rsidRPr="008A2F8B">
        <w:rPr>
          <w:rFonts w:ascii="Arial" w:hAnsi="Arial"/>
          <w:sz w:val="20"/>
          <w:szCs w:val="20"/>
        </w:rPr>
        <w:t>above</w:t>
      </w:r>
      <w:proofErr w:type="gramEnd"/>
      <w:r w:rsidRPr="008A2F8B">
        <w:rPr>
          <w:rFonts w:ascii="Arial" w:hAnsi="Arial"/>
          <w:sz w:val="20"/>
          <w:szCs w:val="20"/>
        </w:rPr>
        <w:t xml:space="preserve"> </w:t>
      </w:r>
      <w:r w:rsidR="00B455D9" w:rsidRPr="008A2F8B">
        <w:rPr>
          <w:rFonts w:ascii="Arial" w:hAnsi="Arial"/>
          <w:sz w:val="20"/>
          <w:szCs w:val="20"/>
        </w:rPr>
        <w:t>requirements,</w:t>
      </w:r>
      <w:r w:rsidRPr="008A2F8B">
        <w:rPr>
          <w:rFonts w:ascii="Arial" w:hAnsi="Arial"/>
          <w:sz w:val="20"/>
          <w:szCs w:val="20"/>
        </w:rPr>
        <w:t xml:space="preserve"> please contact the CUSG Save to Win Product Manager so an alternate winner can be selected.</w:t>
      </w:r>
      <w:bookmarkStart w:id="0" w:name="GoBack"/>
      <w:bookmarkEnd w:id="0"/>
    </w:p>
    <w:p w14:paraId="16FA9F37" w14:textId="77777777" w:rsidR="008B287E" w:rsidRPr="00501EDA" w:rsidRDefault="008B287E"/>
    <w:sectPr w:rsidR="008B287E" w:rsidRPr="00501EDA" w:rsidSect="00A74689">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B683" w14:textId="77777777" w:rsidR="00522CBD" w:rsidRDefault="00522CBD">
      <w:pPr>
        <w:spacing w:after="0" w:line="240" w:lineRule="auto"/>
      </w:pPr>
      <w:r>
        <w:separator/>
      </w:r>
    </w:p>
  </w:endnote>
  <w:endnote w:type="continuationSeparator" w:id="0">
    <w:p w14:paraId="1D5977F5" w14:textId="77777777" w:rsidR="00522CBD" w:rsidRDefault="00522CBD">
      <w:pPr>
        <w:spacing w:after="0" w:line="240" w:lineRule="auto"/>
      </w:pPr>
      <w:r>
        <w:continuationSeparator/>
      </w:r>
    </w:p>
  </w:endnote>
  <w:endnote w:type="continuationNotice" w:id="1">
    <w:p w14:paraId="36018DAA" w14:textId="77777777" w:rsidR="00522CBD" w:rsidRDefault="00522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00000000" w:usb2="00000000" w:usb3="00000000" w:csb0="00000001" w:csb1="00000000"/>
  </w:font>
  <w:font w:name="ヒラギノ角ゴ Pro W3">
    <w:altName w:val="MS Gothic"/>
    <w:charset w:val="80"/>
    <w:family w:val="auto"/>
    <w:pitch w:val="variable"/>
    <w:sig w:usb0="00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16F" w14:textId="77777777" w:rsidR="00081C6F" w:rsidRDefault="00071990">
    <w:pPr>
      <w:pStyle w:val="Footer1"/>
      <w:tabs>
        <w:tab w:val="clear" w:pos="9360"/>
        <w:tab w:val="right" w:pos="8980"/>
      </w:tabs>
      <w:ind w:right="360"/>
      <w:rPr>
        <w:rFonts w:eastAsia="Times New Roman"/>
        <w:color w:val="auto"/>
        <w:sz w:val="20"/>
        <w:lang w:bidi="x-none"/>
      </w:rPr>
    </w:pPr>
    <w:r>
      <w:rPr>
        <w:rFonts w:ascii="Arial" w:hAnsi="Arial"/>
        <w:sz w:val="18"/>
      </w:rPr>
      <w:t>Save to Win</w:t>
    </w:r>
    <w:r>
      <w:rPr>
        <w:rFonts w:ascii="Arial" w:hAnsi="Arial"/>
        <w:b/>
        <w:sz w:val="18"/>
      </w:rPr>
      <w:t>®</w:t>
    </w:r>
    <w:r>
      <w:rPr>
        <w:rFonts w:ascii="Arial" w:hAnsi="Arial"/>
        <w:sz w:val="18"/>
      </w:rPr>
      <w:t xml:space="preserve"> Implementation Guide, Appendix 7: Winner Eligibility Checklist | Last Updated:  June 2012</w:t>
    </w:r>
    <w:r>
      <w:rPr>
        <w:rFonts w:ascii="Arial" w:hAnsi="Arial"/>
        <w:sz w:val="18"/>
      </w:rPr>
      <w:tab/>
    </w:r>
    <w:r>
      <w:rPr>
        <w:rStyle w:val="PageNumber1"/>
        <w:rFonts w:ascii="Arial" w:hAnsi="Arial"/>
        <w:sz w:val="18"/>
      </w:rPr>
      <w:fldChar w:fldCharType="begin"/>
    </w:r>
    <w:r>
      <w:rPr>
        <w:rStyle w:val="PageNumber1"/>
        <w:rFonts w:ascii="Arial" w:hAnsi="Arial"/>
        <w:sz w:val="18"/>
      </w:rPr>
      <w:instrText xml:space="preserve"> PAGE </w:instrText>
    </w:r>
    <w:r>
      <w:rPr>
        <w:rStyle w:val="PageNumber1"/>
        <w:rFonts w:ascii="Arial" w:hAnsi="Arial"/>
        <w:sz w:val="18"/>
      </w:rPr>
      <w:fldChar w:fldCharType="separate"/>
    </w:r>
    <w:r>
      <w:rPr>
        <w:rStyle w:val="PageNumber1"/>
        <w:rFonts w:ascii="Arial" w:hAnsi="Arial"/>
        <w:sz w:val="18"/>
      </w:rPr>
      <w:t>1</w:t>
    </w:r>
    <w:r>
      <w:rPr>
        <w:rStyle w:val="PageNumber1"/>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FFE" w14:textId="6675F799" w:rsidR="00081C6F" w:rsidRDefault="00071990">
    <w:pPr>
      <w:pStyle w:val="Footer1"/>
      <w:tabs>
        <w:tab w:val="clear" w:pos="9360"/>
        <w:tab w:val="right" w:pos="8980"/>
      </w:tabs>
      <w:ind w:right="360"/>
      <w:rPr>
        <w:rFonts w:eastAsia="Times New Roman"/>
        <w:color w:val="auto"/>
        <w:sz w:val="20"/>
        <w:lang w:bidi="x-none"/>
      </w:rPr>
    </w:pPr>
    <w:r>
      <w:rPr>
        <w:rFonts w:ascii="Arial" w:hAnsi="Arial"/>
        <w:sz w:val="18"/>
      </w:rPr>
      <w:t>Save to Win</w:t>
    </w:r>
    <w:r>
      <w:rPr>
        <w:rFonts w:ascii="Arial" w:hAnsi="Arial"/>
        <w:b/>
        <w:sz w:val="18"/>
      </w:rPr>
      <w:t>®</w:t>
    </w:r>
    <w:r>
      <w:rPr>
        <w:rFonts w:ascii="Arial" w:hAnsi="Arial"/>
        <w:sz w:val="18"/>
      </w:rPr>
      <w:t xml:space="preserve"> Implementation Guide, Appendix 7: Winner Eligibility Checklist | Last Updated: </w:t>
    </w:r>
    <w:r w:rsidR="008A1051">
      <w:rPr>
        <w:rFonts w:ascii="Arial" w:hAnsi="Arial"/>
        <w:sz w:val="18"/>
      </w:rPr>
      <w:t>June</w:t>
    </w:r>
    <w:r>
      <w:rPr>
        <w:rFonts w:ascii="Arial" w:hAnsi="Arial"/>
        <w:sz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58AB" w14:textId="77777777" w:rsidR="00522CBD" w:rsidRDefault="00522CBD">
      <w:pPr>
        <w:spacing w:after="0" w:line="240" w:lineRule="auto"/>
      </w:pPr>
      <w:r>
        <w:separator/>
      </w:r>
    </w:p>
  </w:footnote>
  <w:footnote w:type="continuationSeparator" w:id="0">
    <w:p w14:paraId="513984FA" w14:textId="77777777" w:rsidR="00522CBD" w:rsidRDefault="00522CBD">
      <w:pPr>
        <w:spacing w:after="0" w:line="240" w:lineRule="auto"/>
      </w:pPr>
      <w:r>
        <w:continuationSeparator/>
      </w:r>
    </w:p>
  </w:footnote>
  <w:footnote w:type="continuationNotice" w:id="1">
    <w:p w14:paraId="3036F30C" w14:textId="77777777" w:rsidR="00522CBD" w:rsidRDefault="00522C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BFA"/>
    <w:multiLevelType w:val="hybridMultilevel"/>
    <w:tmpl w:val="472E1586"/>
    <w:lvl w:ilvl="0" w:tplc="331042E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0B74F8"/>
    <w:multiLevelType w:val="hybridMultilevel"/>
    <w:tmpl w:val="1990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323433">
    <w:abstractNumId w:val="1"/>
  </w:num>
  <w:num w:numId="2" w16cid:durableId="20432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DA"/>
    <w:rsid w:val="00071990"/>
    <w:rsid w:val="003F423B"/>
    <w:rsid w:val="00405DC1"/>
    <w:rsid w:val="00501EDA"/>
    <w:rsid w:val="00522CBD"/>
    <w:rsid w:val="005A245E"/>
    <w:rsid w:val="00603E56"/>
    <w:rsid w:val="006952A7"/>
    <w:rsid w:val="00714FAB"/>
    <w:rsid w:val="008A1051"/>
    <w:rsid w:val="008A2F8B"/>
    <w:rsid w:val="008B287E"/>
    <w:rsid w:val="00A47818"/>
    <w:rsid w:val="00AB1FAF"/>
    <w:rsid w:val="00B455D9"/>
    <w:rsid w:val="00B63785"/>
    <w:rsid w:val="00C753D0"/>
    <w:rsid w:val="00CC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5065"/>
  <w15:chartTrackingRefBased/>
  <w15:docId w15:val="{46CAC365-9D81-40CD-B593-F389721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A"/>
    <w:pPr>
      <w:spacing w:after="200" w:line="276" w:lineRule="auto"/>
    </w:pPr>
    <w:rPr>
      <w:rFonts w:ascii="Lucida Grande" w:eastAsia="ヒラギノ角ゴ Pro W3" w:hAnsi="Lucida Grande" w:cs="Times New Roman"/>
      <w:color w:val="000000"/>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autoRedefine/>
    <w:rsid w:val="00501EDA"/>
    <w:pPr>
      <w:tabs>
        <w:tab w:val="center" w:pos="4680"/>
        <w:tab w:val="right" w:pos="9360"/>
      </w:tabs>
      <w:spacing w:after="0" w:line="240" w:lineRule="auto"/>
    </w:pPr>
    <w:rPr>
      <w:rFonts w:ascii="Times New Roman" w:eastAsia="ヒラギノ角ゴ Pro W3" w:hAnsi="Times New Roman" w:cs="Times New Roman"/>
      <w:color w:val="000000"/>
      <w:kern w:val="0"/>
      <w:szCs w:val="20"/>
      <w14:ligatures w14:val="none"/>
    </w:rPr>
  </w:style>
  <w:style w:type="character" w:customStyle="1" w:styleId="PageNumber1">
    <w:name w:val="Page Number1"/>
    <w:autoRedefine/>
    <w:rsid w:val="00501EDA"/>
    <w:rPr>
      <w:color w:val="000000"/>
      <w:sz w:val="20"/>
    </w:rPr>
  </w:style>
  <w:style w:type="paragraph" w:styleId="ListParagraph">
    <w:name w:val="List Paragraph"/>
    <w:basedOn w:val="Normal"/>
    <w:uiPriority w:val="34"/>
    <w:qFormat/>
    <w:rsid w:val="00501EDA"/>
    <w:pPr>
      <w:ind w:left="720"/>
      <w:contextualSpacing/>
    </w:pPr>
  </w:style>
  <w:style w:type="paragraph" w:styleId="Header">
    <w:name w:val="header"/>
    <w:basedOn w:val="Normal"/>
    <w:link w:val="HeaderChar"/>
    <w:uiPriority w:val="99"/>
    <w:unhideWhenUsed/>
    <w:rsid w:val="005A2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5E"/>
    <w:rPr>
      <w:rFonts w:ascii="Lucida Grande" w:eastAsia="ヒラギノ角ゴ Pro W3" w:hAnsi="Lucida Grande" w:cs="Times New Roman"/>
      <w:color w:val="000000"/>
      <w:kern w:val="0"/>
      <w:szCs w:val="24"/>
      <w14:ligatures w14:val="none"/>
    </w:rPr>
  </w:style>
  <w:style w:type="paragraph" w:styleId="Footer">
    <w:name w:val="footer"/>
    <w:basedOn w:val="Normal"/>
    <w:link w:val="FooterChar"/>
    <w:uiPriority w:val="99"/>
    <w:unhideWhenUsed/>
    <w:rsid w:val="005A2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5E"/>
    <w:rPr>
      <w:rFonts w:ascii="Lucida Grande" w:eastAsia="ヒラギノ角ゴ Pro W3" w:hAnsi="Lucida Grande" w:cs="Times New Roman"/>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 Esmail</dc:creator>
  <cp:keywords/>
  <dc:description/>
  <cp:lastModifiedBy>Hannan Esmail</cp:lastModifiedBy>
  <cp:revision>14</cp:revision>
  <dcterms:created xsi:type="dcterms:W3CDTF">2023-05-12T17:22:00Z</dcterms:created>
  <dcterms:modified xsi:type="dcterms:W3CDTF">2023-06-15T16:42:00Z</dcterms:modified>
</cp:coreProperties>
</file>